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Rule="auto"/>
        <w:rPr>
          <w:b w:val="1"/>
          <w:bCs w:val="1"/>
        </w:rPr>
      </w:pPr>
      <w:r w:rsidDel="00000000" w:rsidR="00000000" w:rsidRPr="00000000">
        <w:rPr>
          <w:b w:val="1"/>
          <w:bCs w:val="1"/>
          <w:rtl w:val="0"/>
        </w:rPr>
        <w:t xml:space="preserve">Re‑written “Micro‑Honey‑B Super‑capacitor” specification</w:t>
      </w:r>
    </w:p>
    <w:tbl>
      <w:tblPr>
        <w:tblStyle w:val="Table1"/>
        <w:tblW w:w="9360.0" w:type="dxa"/>
        <w:jc w:val="left"/>
        <w:tblLayout w:type="fixed"/>
        <w:tblLook w:val="0600"/>
      </w:tblPr>
      <w:tblGrid>
        <w:gridCol w:w="1907.6760190577024"/>
        <w:gridCol w:w="7452.323980942298"/>
        <w:tblGridChange w:id="0">
          <w:tblGrid>
            <w:gridCol w:w="1907.6760190577024"/>
            <w:gridCol w:w="7452.323980942298"/>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02">
            <w:pPr>
              <w:jc w:val="center"/>
              <w:rPr/>
            </w:pPr>
            <w:r w:rsidDel="00000000" w:rsidR="00000000" w:rsidRPr="00000000">
              <w:rPr>
                <w:b w:val="1"/>
                <w:bCs w:val="1"/>
                <w:rtl w:val="0"/>
              </w:rPr>
              <w:t xml:space="preserve">Item</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03">
            <w:pPr>
              <w:jc w:val="center"/>
              <w:rPr/>
            </w:pPr>
            <w:r w:rsidDel="00000000" w:rsidR="00000000" w:rsidRPr="00000000">
              <w:rPr>
                <w:b w:val="1"/>
                <w:bCs w:val="1"/>
                <w:rtl w:val="0"/>
              </w:rPr>
              <w:t xml:space="preserve">Corrected description</w:t>
            </w:r>
            <w:r w:rsidDel="00000000" w:rsidR="00000000" w:rsidRPr="00000000">
              <w:rPr>
                <w:rtl w:val="0"/>
              </w:rPr>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04">
            <w:pPr>
              <w:rPr/>
            </w:pPr>
            <w:r w:rsidDel="00000000" w:rsidR="00000000" w:rsidRPr="00000000">
              <w:rPr>
                <w:b w:val="1"/>
                <w:bCs w:val="1"/>
                <w:rtl w:val="0"/>
              </w:rPr>
              <w:t xml:space="preserve">Device type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05">
            <w:pPr>
              <w:rPr/>
            </w:pPr>
            <w:r w:rsidDel="00000000" w:rsidR="00000000" w:rsidRPr="00000000">
              <w:rPr>
                <w:rtl w:val="0"/>
              </w:rPr>
              <w:t xml:space="preserve">2.7 V – 3.0 V high‑kA‑rated super‑capacitor cells, mounted in series/parallel modules to match the DC‑bus voltage.</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06">
            <w:pPr>
              <w:rPr/>
            </w:pPr>
            <w:r w:rsidDel="00000000" w:rsidR="00000000" w:rsidRPr="00000000">
              <w:rPr>
                <w:b w:val="1"/>
                <w:bCs w:val="1"/>
                <w:rtl w:val="0"/>
              </w:rPr>
              <w:t xml:space="preserve">Cell chemistry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07">
            <w:pPr>
              <w:rPr/>
            </w:pPr>
            <w:r w:rsidDel="00000000" w:rsidR="00000000" w:rsidRPr="00000000">
              <w:rPr>
                <w:rtl w:val="0"/>
              </w:rPr>
              <w:t xml:space="preserve">Commercial‑grade electric‑double‑layer (EDLC) cells (e.g., Maxwell / Skeleton Technologies) with low ESR (&lt; 1 mΩ) and ripple‑current capability &gt; 5 kA.</w:t>
            </w:r>
          </w:p>
        </w:tc>
      </w:tr>
      <w:tr>
        <w:trPr>
          <w:cantSplit w:val="0"/>
          <w:trHeight w:val="1325" w:hRule="atLeast"/>
          <w:tblHeader w:val="0"/>
        </w:trPr>
        <w:tc>
          <w:tcPr>
            <w:tcMar>
              <w:top w:w="100.0" w:type="dxa"/>
              <w:left w:w="100.0" w:type="dxa"/>
              <w:bottom w:w="100.0" w:type="dxa"/>
              <w:right w:w="100.0" w:type="dxa"/>
            </w:tcMar>
            <w:vAlign w:val="top"/>
          </w:tcPr>
          <w:p w:rsidR="00000000" w:rsidDel="00000000" w:rsidP="00000000" w:rsidRDefault="00000000" w:rsidRPr="00000000" w14:paraId="00000008">
            <w:pPr>
              <w:rPr/>
            </w:pPr>
            <w:r w:rsidDel="00000000" w:rsidR="00000000" w:rsidRPr="00000000">
              <w:rPr>
                <w:b w:val="1"/>
                <w:bCs w:val="1"/>
                <w:rtl w:val="0"/>
              </w:rPr>
              <w:t xml:space="preserve">Module architecture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09">
            <w:pPr>
              <w:numPr>
                <w:ilvl w:val="0"/>
                <w:numId w:val="3"/>
              </w:numPr>
              <w:spacing w:after="0" w:afterAutospacing="0" w:lineRule="auto"/>
              <w:ind w:left="720" w:hanging="360"/>
            </w:pPr>
            <w:r w:rsidDel="00000000" w:rsidR="00000000" w:rsidRPr="00000000">
              <w:rPr>
                <w:rtl w:val="0"/>
              </w:rPr>
              <w:t xml:space="preserve">Series‑stack of 3–4 cells gives 8.1 V–12 V per module.</w:t>
            </w:r>
          </w:p>
          <w:p w:rsidR="00000000" w:rsidDel="00000000" w:rsidP="00000000" w:rsidRDefault="00000000" w:rsidRPr="00000000" w14:paraId="0000000A">
            <w:pPr>
              <w:numPr>
                <w:ilvl w:val="0"/>
                <w:numId w:val="3"/>
              </w:numPr>
              <w:spacing w:after="240" w:lineRule="auto"/>
              <w:ind w:left="720" w:hanging="360"/>
            </w:pPr>
            <w:r w:rsidDel="00000000" w:rsidR="00000000" w:rsidRPr="00000000">
              <w:rPr>
                <w:rFonts w:ascii="Arial Unicode MS" w:cs="Arial Unicode MS" w:eastAsia="Arial Unicode MS" w:hAnsi="Arial Unicode MS"/>
                <w:rtl w:val="0"/>
              </w:rPr>
              <w:t xml:space="preserve">Two or more such stacks are paralleled to achieve the required total capacitance while keeping the module voltage ≤ 12 V.</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0B">
            <w:pPr>
              <w:rPr/>
            </w:pPr>
            <w:r w:rsidDel="00000000" w:rsidR="00000000" w:rsidRPr="00000000">
              <w:rPr>
                <w:b w:val="1"/>
                <w:bCs w:val="1"/>
                <w:rtl w:val="0"/>
              </w:rPr>
              <w:t xml:space="preserve">Capacitance per module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0C">
            <w:pPr>
              <w:rPr/>
            </w:pPr>
            <w:r w:rsidDel="00000000" w:rsidR="00000000" w:rsidRPr="00000000">
              <w:rPr>
                <w:rtl w:val="0"/>
              </w:rPr>
              <w:t xml:space="preserve">5 F – 15 F per stack (typical commercial modules). Parallel‑pairing yields 10 F – 30 F at the bus voltage.</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b w:val="1"/>
                <w:bCs w:val="1"/>
                <w:rtl w:val="0"/>
              </w:rPr>
              <w:t xml:space="preserve">Placement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0E">
            <w:pPr>
              <w:rPr/>
            </w:pPr>
            <w:r w:rsidDel="00000000" w:rsidR="00000000" w:rsidRPr="00000000">
              <w:rPr>
                <w:rtl w:val="0"/>
              </w:rPr>
              <w:t xml:space="preserve">Dedicated rack located </w:t>
            </w:r>
            <w:r w:rsidDel="00000000" w:rsidR="00000000" w:rsidRPr="00000000">
              <w:rPr>
                <w:b w:val="1"/>
                <w:bCs w:val="1"/>
                <w:rtl w:val="0"/>
              </w:rPr>
              <w:t xml:space="preserve">adjacent to the main DC bus</w:t>
            </w:r>
            <w:r w:rsidDel="00000000" w:rsidR="00000000" w:rsidRPr="00000000">
              <w:rPr>
                <w:rtl w:val="0"/>
              </w:rPr>
              <w:t xml:space="preserve"> and </w:t>
            </w:r>
            <w:r w:rsidDel="00000000" w:rsidR="00000000" w:rsidRPr="00000000">
              <w:rPr>
                <w:b w:val="1"/>
                <w:bCs w:val="1"/>
                <w:rtl w:val="0"/>
              </w:rPr>
              <w:t xml:space="preserve">interleaved with the battery rack</w:t>
            </w:r>
            <w:r w:rsidDel="00000000" w:rsidR="00000000" w:rsidRPr="00000000">
              <w:rPr>
                <w:rtl w:val="0"/>
              </w:rPr>
              <w:t xml:space="preserve"> so that high‑frequency transients travel a short, low‑impedance path to the super‑cap bank.</w:t>
            </w:r>
          </w:p>
        </w:tc>
      </w:tr>
      <w:tr>
        <w:trPr>
          <w:cantSplit w:val="0"/>
          <w:trHeight w:val="2195" w:hRule="atLeast"/>
          <w:tblHeader w:val="0"/>
        </w:trPr>
        <w:tc>
          <w:tcP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b w:val="1"/>
                <w:bCs w:val="1"/>
                <w:rtl w:val="0"/>
              </w:rPr>
              <w:t xml:space="preserve">Purpose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10">
            <w:pPr>
              <w:numPr>
                <w:ilvl w:val="0"/>
                <w:numId w:val="2"/>
              </w:numPr>
              <w:spacing w:after="0" w:afterAutospacing="0" w:lineRule="auto"/>
              <w:ind w:left="720" w:hanging="360"/>
            </w:pPr>
            <w:r w:rsidDel="00000000" w:rsidR="00000000" w:rsidRPr="00000000">
              <w:rPr>
                <w:rFonts w:ascii="Arial Unicode MS" w:cs="Arial Unicode MS" w:eastAsia="Arial Unicode MS" w:hAnsi="Arial Unicode MS"/>
                <w:rtl w:val="0"/>
              </w:rPr>
              <w:t xml:space="preserve">Absorb fast current transients (≤ 100 µs) during load‑step or fault events.</w:t>
            </w:r>
          </w:p>
          <w:p w:rsidR="00000000" w:rsidDel="00000000" w:rsidP="00000000" w:rsidRDefault="00000000" w:rsidRPr="00000000" w14:paraId="00000011">
            <w:pPr>
              <w:numPr>
                <w:ilvl w:val="0"/>
                <w:numId w:val="2"/>
              </w:numPr>
              <w:spacing w:after="0" w:afterAutospacing="0" w:lineRule="auto"/>
              <w:ind w:left="720" w:hanging="360"/>
            </w:pPr>
            <w:r w:rsidDel="00000000" w:rsidR="00000000" w:rsidRPr="00000000">
              <w:rPr>
                <w:rtl w:val="0"/>
              </w:rPr>
              <w:t xml:space="preserve">Supply short‑burst power (up to 125 MW </w:t>
            </w:r>
            <w:r w:rsidDel="00000000" w:rsidR="00000000" w:rsidRPr="00000000">
              <w:rPr>
                <w:i w:val="1"/>
                <w:iCs w:val="1"/>
                <w:rtl w:val="0"/>
              </w:rPr>
              <w:t xml:space="preserve">hub</w:t>
            </w:r>
            <w:r w:rsidDel="00000000" w:rsidR="00000000" w:rsidRPr="00000000">
              <w:rPr>
                <w:rtl w:val="0"/>
              </w:rPr>
              <w:t xml:space="preserve"> burst, scaled across 48 hubs) by delivering peak currents of several kA for 0.5 s–2 s.</w:t>
            </w:r>
          </w:p>
          <w:p w:rsidR="00000000" w:rsidDel="00000000" w:rsidP="00000000" w:rsidRDefault="00000000" w:rsidRPr="00000000" w14:paraId="00000012">
            <w:pPr>
              <w:numPr>
                <w:ilvl w:val="0"/>
                <w:numId w:val="2"/>
              </w:numPr>
              <w:spacing w:after="240" w:lineRule="auto"/>
              <w:ind w:left="720" w:hanging="360"/>
            </w:pPr>
            <w:r w:rsidDel="00000000" w:rsidR="00000000" w:rsidRPr="00000000">
              <w:rPr>
                <w:rtl w:val="0"/>
              </w:rPr>
              <w:t xml:space="preserve">Provide fault‑ride‑through capability and reduce DC‑bus voltage sag during inverter start‑up.</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b w:val="1"/>
                <w:bCs w:val="1"/>
                <w:rtl w:val="0"/>
              </w:rPr>
              <w:t xml:space="preserve">Thermal management</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14">
            <w:pPr>
              <w:rPr/>
            </w:pPr>
            <w:r w:rsidDel="00000000" w:rsidR="00000000" w:rsidRPr="00000000">
              <w:rPr>
                <w:rtl w:val="0"/>
              </w:rPr>
              <w:t xml:space="preserve">Integrated heat‑spreaders (graphite sheets) bonded to the cell housing; passive convection with the hub’s HVAC system keeps cell temperature below 45 °C during peak discharge.</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15">
            <w:pPr>
              <w:rPr/>
            </w:pPr>
            <w:r w:rsidDel="00000000" w:rsidR="00000000" w:rsidRPr="00000000">
              <w:rPr>
                <w:b w:val="1"/>
                <w:bCs w:val="1"/>
                <w:rtl w:val="0"/>
              </w:rPr>
              <w:t xml:space="preserve">Control &amp; monitoring</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rtl w:val="0"/>
              </w:rPr>
              <w:t xml:space="preserve">Each module includes a </w:t>
            </w:r>
            <w:r w:rsidDel="00000000" w:rsidR="00000000" w:rsidRPr="00000000">
              <w:rPr>
                <w:b w:val="1"/>
                <w:bCs w:val="1"/>
                <w:rtl w:val="0"/>
              </w:rPr>
              <w:t xml:space="preserve">Hall‑effect current sensor</w:t>
            </w:r>
            <w:r w:rsidDel="00000000" w:rsidR="00000000" w:rsidRPr="00000000">
              <w:rPr>
                <w:rtl w:val="0"/>
              </w:rPr>
              <w:t xml:space="preserve"> and a </w:t>
            </w:r>
            <w:r w:rsidDel="00000000" w:rsidR="00000000" w:rsidRPr="00000000">
              <w:rPr>
                <w:b w:val="1"/>
                <w:bCs w:val="1"/>
                <w:rtl w:val="0"/>
              </w:rPr>
              <w:t xml:space="preserve">PT100 temperature sensor</w:t>
            </w:r>
            <w:r w:rsidDel="00000000" w:rsidR="00000000" w:rsidRPr="00000000">
              <w:rPr>
                <w:rtl w:val="0"/>
              </w:rPr>
              <w:t xml:space="preserve">; data are fed to the hub‑level PLC for real‑time SOC and health monitoring.</w:t>
            </w:r>
          </w:p>
        </w:tc>
      </w:tr>
      <w:tr>
        <w:trPr>
          <w:cantSplit w:val="0"/>
          <w:trHeight w:val="19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7">
            <w:pPr>
              <w:rPr/>
            </w:pPr>
            <w:r w:rsidDel="00000000" w:rsidR="00000000" w:rsidRPr="00000000">
              <w:rPr>
                <w:b w:val="1"/>
                <w:bCs w:val="1"/>
                <w:rtl w:val="0"/>
              </w:rPr>
              <w:t xml:space="preserve">Safety features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18">
            <w:pPr>
              <w:numPr>
                <w:ilvl w:val="0"/>
                <w:numId w:val="4"/>
              </w:numPr>
              <w:spacing w:after="0" w:afterAutospacing="0" w:lineRule="auto"/>
              <w:ind w:left="720" w:hanging="360"/>
            </w:pPr>
            <w:r w:rsidDel="00000000" w:rsidR="00000000" w:rsidRPr="00000000">
              <w:rPr>
                <w:rtl w:val="0"/>
              </w:rPr>
              <w:t xml:space="preserve">HV DC fuse per string.</w:t>
            </w:r>
          </w:p>
          <w:p w:rsidR="00000000" w:rsidDel="00000000" w:rsidP="00000000" w:rsidRDefault="00000000" w:rsidRPr="00000000" w14:paraId="00000019">
            <w:pPr>
              <w:numPr>
                <w:ilvl w:val="0"/>
                <w:numId w:val="4"/>
              </w:numPr>
              <w:spacing w:after="0" w:afterAutospacing="0" w:lineRule="auto"/>
              <w:ind w:left="720" w:hanging="360"/>
            </w:pPr>
            <w:r w:rsidDel="00000000" w:rsidR="00000000" w:rsidRPr="00000000">
              <w:rPr>
                <w:rtl w:val="0"/>
              </w:rPr>
              <w:t xml:space="preserve">Voltage‑balancing circuits (passive resistor network) to equalise cell voltages during charge.</w:t>
            </w:r>
          </w:p>
          <w:p w:rsidR="00000000" w:rsidDel="00000000" w:rsidP="00000000" w:rsidRDefault="00000000" w:rsidRPr="00000000" w14:paraId="0000001A">
            <w:pPr>
              <w:numPr>
                <w:ilvl w:val="0"/>
                <w:numId w:val="4"/>
              </w:numPr>
              <w:spacing w:after="240" w:lineRule="auto"/>
              <w:ind w:left="720" w:hanging="360"/>
            </w:pPr>
            <w:r w:rsidDel="00000000" w:rsidR="00000000" w:rsidRPr="00000000">
              <w:rPr>
                <w:rtl w:val="0"/>
              </w:rPr>
              <w:t xml:space="preserve">Isolation monitoring device (IMD) on the DC bus to detect insulation faults.</w:t>
            </w:r>
          </w:p>
        </w:tc>
      </w:tr>
    </w:tbl>
    <w:p w:rsidR="00000000" w:rsidDel="00000000" w:rsidP="00000000" w:rsidRDefault="00000000" w:rsidRPr="00000000" w14:paraId="0000001B">
      <w:pPr>
        <w:spacing w:after="240" w:before="240" w:lineRule="auto"/>
        <w:rPr>
          <w:b w:val="1"/>
          <w:bCs w:val="1"/>
        </w:rPr>
      </w:pPr>
      <w:r w:rsidDel="00000000" w:rsidR="00000000" w:rsidRPr="00000000">
        <w:rPr>
          <w:b w:val="1"/>
          <w:bCs w:val="1"/>
          <w:rtl w:val="0"/>
        </w:rPr>
        <w:t xml:space="preserve">Key fixes applied</w:t>
      </w:r>
    </w:p>
    <w:p w:rsidR="00000000" w:rsidDel="00000000" w:rsidP="00000000" w:rsidRDefault="00000000" w:rsidRPr="00000000" w14:paraId="0000001C">
      <w:pPr>
        <w:numPr>
          <w:ilvl w:val="0"/>
          <w:numId w:val="1"/>
        </w:numPr>
        <w:spacing w:after="0" w:afterAutospacing="0" w:before="240" w:lineRule="auto"/>
        <w:ind w:left="720" w:hanging="360"/>
      </w:pPr>
      <w:r w:rsidDel="00000000" w:rsidR="00000000" w:rsidRPr="00000000">
        <w:rPr>
          <w:rtl w:val="0"/>
        </w:rPr>
        <w:t xml:space="preserve">Corrected the misspelling “capcacitor” to </w:t>
      </w:r>
      <w:r w:rsidDel="00000000" w:rsidR="00000000" w:rsidRPr="00000000">
        <w:rPr>
          <w:b w:val="1"/>
          <w:bCs w:val="1"/>
          <w:rtl w:val="0"/>
        </w:rPr>
        <w:t xml:space="preserve">super‑capacitor</w:t>
      </w:r>
      <w:r w:rsidDel="00000000" w:rsidR="00000000" w:rsidRPr="00000000">
        <w:rPr>
          <w:rtl w:val="0"/>
        </w:rPr>
        <w:t xml:space="preserve">.</w:t>
      </w:r>
    </w:p>
    <w:p w:rsidR="00000000" w:rsidDel="00000000" w:rsidP="00000000" w:rsidRDefault="00000000" w:rsidRPr="00000000" w14:paraId="0000001D">
      <w:pPr>
        <w:numPr>
          <w:ilvl w:val="0"/>
          <w:numId w:val="1"/>
        </w:numPr>
        <w:spacing w:after="0" w:afterAutospacing="0" w:before="0" w:beforeAutospacing="0" w:lineRule="auto"/>
        <w:ind w:left="720" w:hanging="360"/>
      </w:pPr>
      <w:r w:rsidDel="00000000" w:rsidR="00000000" w:rsidRPr="00000000">
        <w:rPr>
          <w:rtl w:val="0"/>
        </w:rPr>
        <w:t xml:space="preserve">Clarified the </w:t>
      </w:r>
      <w:r w:rsidDel="00000000" w:rsidR="00000000" w:rsidRPr="00000000">
        <w:rPr>
          <w:b w:val="1"/>
          <w:bCs w:val="1"/>
          <w:rtl w:val="0"/>
        </w:rPr>
        <w:t xml:space="preserve">voltage rating</w:t>
      </w:r>
      <w:r w:rsidDel="00000000" w:rsidR="00000000" w:rsidRPr="00000000">
        <w:rPr>
          <w:rtl w:val="0"/>
        </w:rPr>
        <w:t xml:space="preserve"> (2.7–3.0 V per cell) and how series/parallel stacking yields the required bus voltage.</w:t>
      </w:r>
    </w:p>
    <w:p w:rsidR="00000000" w:rsidDel="00000000" w:rsidP="00000000" w:rsidRDefault="00000000" w:rsidRPr="00000000" w14:paraId="0000001E">
      <w:pPr>
        <w:numPr>
          <w:ilvl w:val="0"/>
          <w:numId w:val="1"/>
        </w:numPr>
        <w:spacing w:after="0" w:afterAutospacing="0" w:before="0" w:beforeAutospacing="0" w:lineRule="auto"/>
        <w:ind w:left="720" w:hanging="360"/>
      </w:pPr>
      <w:r w:rsidDel="00000000" w:rsidR="00000000" w:rsidRPr="00000000">
        <w:rPr>
          <w:rtl w:val="0"/>
        </w:rPr>
        <w:t xml:space="preserve">Added </w:t>
      </w:r>
      <w:r w:rsidDel="00000000" w:rsidR="00000000" w:rsidRPr="00000000">
        <w:rPr>
          <w:b w:val="1"/>
          <w:bCs w:val="1"/>
          <w:rtl w:val="0"/>
        </w:rPr>
        <w:t xml:space="preserve">capacitance ranges</w:t>
      </w:r>
      <w:r w:rsidDel="00000000" w:rsidR="00000000" w:rsidRPr="00000000">
        <w:rPr>
          <w:rtl w:val="0"/>
        </w:rPr>
        <w:t xml:space="preserve"> (5–15 F per stack) that are realistic for the size class of a “micro” module and consistent with the high‑kA current rating needed for burst support.</w:t>
      </w:r>
    </w:p>
    <w:p w:rsidR="00000000" w:rsidDel="00000000" w:rsidP="00000000" w:rsidRDefault="00000000" w:rsidRPr="00000000" w14:paraId="0000001F">
      <w:pPr>
        <w:numPr>
          <w:ilvl w:val="0"/>
          <w:numId w:val="1"/>
        </w:numPr>
        <w:spacing w:after="0" w:afterAutospacing="0" w:before="0" w:beforeAutospacing="0" w:lineRule="auto"/>
        <w:ind w:left="720" w:hanging="360"/>
      </w:pPr>
      <w:r w:rsidDel="00000000" w:rsidR="00000000" w:rsidRPr="00000000">
        <w:rPr>
          <w:rtl w:val="0"/>
        </w:rPr>
        <w:t xml:space="preserve">Specified </w:t>
      </w:r>
      <w:r w:rsidDel="00000000" w:rsidR="00000000" w:rsidRPr="00000000">
        <w:rPr>
          <w:b w:val="1"/>
          <w:bCs w:val="1"/>
          <w:rtl w:val="0"/>
        </w:rPr>
        <w:t xml:space="preserve">thermal management</w:t>
      </w:r>
      <w:r w:rsidDel="00000000" w:rsidR="00000000" w:rsidRPr="00000000">
        <w:rPr>
          <w:rtl w:val="0"/>
        </w:rPr>
        <w:t xml:space="preserve"> (graphite heat‑spreaders) and </w:t>
      </w:r>
      <w:r w:rsidDel="00000000" w:rsidR="00000000" w:rsidRPr="00000000">
        <w:rPr>
          <w:b w:val="1"/>
          <w:bCs w:val="1"/>
          <w:rtl w:val="0"/>
        </w:rPr>
        <w:t xml:space="preserve">monitoring</w:t>
      </w:r>
      <w:r w:rsidDel="00000000" w:rsidR="00000000" w:rsidRPr="00000000">
        <w:rPr>
          <w:rtl w:val="0"/>
        </w:rPr>
        <w:t xml:space="preserve"> (Hall‑effect current, PT100 temperature) that align with the hub’s overall sensing architecture.</w:t>
      </w:r>
    </w:p>
    <w:p w:rsidR="00000000" w:rsidDel="00000000" w:rsidP="00000000" w:rsidRDefault="00000000" w:rsidRPr="00000000" w14:paraId="00000020">
      <w:pPr>
        <w:numPr>
          <w:ilvl w:val="0"/>
          <w:numId w:val="1"/>
        </w:numPr>
        <w:spacing w:after="240" w:before="0" w:beforeAutospacing="0" w:lineRule="auto"/>
        <w:ind w:left="720" w:hanging="360"/>
      </w:pPr>
      <w:r w:rsidDel="00000000" w:rsidR="00000000" w:rsidRPr="00000000">
        <w:rPr>
          <w:rtl w:val="0"/>
        </w:rPr>
        <w:t xml:space="preserve">Explicitly linked the super‑capacitor’s role to </w:t>
      </w:r>
      <w:r w:rsidDel="00000000" w:rsidR="00000000" w:rsidRPr="00000000">
        <w:rPr>
          <w:b w:val="1"/>
          <w:bCs w:val="1"/>
          <w:rtl w:val="0"/>
        </w:rPr>
        <w:t xml:space="preserve">burst power</w:t>
      </w:r>
      <w:r w:rsidDel="00000000" w:rsidR="00000000" w:rsidRPr="00000000">
        <w:rPr>
          <w:rtl w:val="0"/>
        </w:rPr>
        <w:t xml:space="preserve"> and </w:t>
      </w:r>
      <w:r w:rsidDel="00000000" w:rsidR="00000000" w:rsidRPr="00000000">
        <w:rPr>
          <w:b w:val="1"/>
          <w:bCs w:val="1"/>
          <w:rtl w:val="0"/>
        </w:rPr>
        <w:t xml:space="preserve">fault‑ride‑through</w:t>
      </w:r>
      <w:r w:rsidDel="00000000" w:rsidR="00000000" w:rsidRPr="00000000">
        <w:rPr>
          <w:rtl w:val="0"/>
        </w:rPr>
        <w:t xml:space="preserve">, matching the design target of ~80–100 MW continuous and up to 125 MW burst per hub.</w:t>
      </w:r>
    </w:p>
    <w:p w:rsidR="00000000" w:rsidDel="00000000" w:rsidP="00000000" w:rsidRDefault="00000000" w:rsidRPr="00000000" w14:paraId="00000021">
      <w:pPr>
        <w:spacing w:after="240" w:before="240" w:lineRule="auto"/>
        <w:rPr/>
      </w:pPr>
      <w:r w:rsidDel="00000000" w:rsidR="00000000" w:rsidRPr="00000000">
        <w:rPr>
          <w:i w:val="1"/>
          <w:iCs w:val="1"/>
          <w:rtl w:val="0"/>
        </w:rPr>
        <w:t xml:space="preserve">Source:</w:t>
      </w:r>
      <w:r w:rsidDel="00000000" w:rsidR="00000000" w:rsidRPr="00000000">
        <w:rPr>
          <w:rtl w:val="0"/>
        </w:rPr>
        <w:t xml:space="preserve"> Honey‑B energy hub design sections on the super‑capacitor layer and placement (see document chunks 5 and 5).</w:t>
      </w:r>
    </w:p>
    <w:p w:rsidR="00000000" w:rsidDel="00000000" w:rsidP="00000000" w:rsidRDefault="00000000" w:rsidRPr="00000000" w14:paraId="00000022">
      <w:pPr>
        <w:spacing w:after="240" w:lineRule="auto"/>
        <w:rPr>
          <w:b w:val="1"/>
          <w:bCs w:val="1"/>
        </w:rPr>
      </w:pPr>
      <w:r w:rsidDel="00000000" w:rsidR="00000000" w:rsidRPr="00000000">
        <w:rPr>
          <w:b w:val="1"/>
          <w:bCs w:val="1"/>
          <w:rtl w:val="0"/>
        </w:rPr>
        <w:t xml:space="preserve">Micro‑Honey B Super‑Capacitor Mini‑Network (8 × Modules)</w:t>
      </w:r>
    </w:p>
    <w:tbl>
      <w:tblPr>
        <w:tblStyle w:val="Table2"/>
        <w:tblW w:w="9360.0" w:type="dxa"/>
        <w:jc w:val="left"/>
        <w:tblLayout w:type="fixed"/>
        <w:tblLook w:val="0600"/>
      </w:tblPr>
      <w:tblGrid>
        <w:gridCol w:w="1922.5410269984118"/>
        <w:gridCol w:w="7437.458973001589"/>
        <w:tblGridChange w:id="0">
          <w:tblGrid>
            <w:gridCol w:w="1922.5410269984118"/>
            <w:gridCol w:w="7437.458973001589"/>
          </w:tblGrid>
        </w:tblGridChange>
      </w:tblGrid>
      <w:tr>
        <w:trPr>
          <w:cantSplit w:val="0"/>
          <w:trHeight w:val="515" w:hRule="atLeast"/>
          <w:tblHeader w:val="0"/>
        </w:trPr>
        <w:tc>
          <w:tcPr>
            <w:tcMar>
              <w:top w:w="100.0" w:type="dxa"/>
              <w:left w:w="100.0" w:type="dxa"/>
              <w:bottom w:w="100.0" w:type="dxa"/>
              <w:right w:w="100.0" w:type="dxa"/>
            </w:tcMar>
            <w:vAlign w:val="top"/>
          </w:tcPr>
          <w:p w:rsidR="00000000" w:rsidDel="00000000" w:rsidP="00000000" w:rsidRDefault="00000000" w:rsidRPr="00000000" w14:paraId="00000023">
            <w:pPr>
              <w:jc w:val="center"/>
              <w:rPr/>
            </w:pPr>
            <w:r w:rsidDel="00000000" w:rsidR="00000000" w:rsidRPr="00000000">
              <w:rPr>
                <w:b w:val="1"/>
                <w:bCs w:val="1"/>
                <w:rtl w:val="0"/>
              </w:rPr>
              <w:t xml:space="preserve">Parameter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24">
            <w:pPr>
              <w:jc w:val="center"/>
              <w:rPr/>
            </w:pPr>
            <w:r w:rsidDel="00000000" w:rsidR="00000000" w:rsidRPr="00000000">
              <w:rPr>
                <w:b w:val="1"/>
                <w:bCs w:val="1"/>
                <w:rtl w:val="0"/>
              </w:rPr>
              <w:t xml:space="preserve">Revised Specification</w:t>
            </w:r>
            <w:r w:rsidDel="00000000" w:rsidR="00000000" w:rsidRPr="00000000">
              <w:rPr>
                <w:rtl w:val="0"/>
              </w:rPr>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25">
            <w:pPr>
              <w:rPr/>
            </w:pPr>
            <w:r w:rsidDel="00000000" w:rsidR="00000000" w:rsidRPr="00000000">
              <w:rPr>
                <w:b w:val="1"/>
                <w:bCs w:val="1"/>
                <w:rtl w:val="0"/>
              </w:rPr>
              <w:t xml:space="preserve">Cell chemistry &amp; voltage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26">
            <w:pPr>
              <w:rPr/>
            </w:pPr>
            <w:r w:rsidDel="00000000" w:rsidR="00000000" w:rsidRPr="00000000">
              <w:rPr>
                <w:rtl w:val="0"/>
              </w:rPr>
              <w:t xml:space="preserve">Commercial EDLC cells rated </w:t>
            </w:r>
            <w:r w:rsidDel="00000000" w:rsidR="00000000" w:rsidRPr="00000000">
              <w:rPr>
                <w:rFonts w:ascii="Arial Unicode MS" w:cs="Arial Unicode MS" w:eastAsia="Arial Unicode MS" w:hAnsi="Arial Unicode MS"/>
                <w:b w:val="1"/>
                <w:bCs w:val="1"/>
                <w:rtl w:val="0"/>
              </w:rPr>
              <w:t xml:space="preserve">≈ 2.7 V – 3.0 V</w:t>
            </w:r>
            <w:r w:rsidDel="00000000" w:rsidR="00000000" w:rsidRPr="00000000">
              <w:rPr>
                <w:rtl w:val="0"/>
              </w:rPr>
              <w:t xml:space="preserve"> (standard low‑ESR super‑cap chemistry). In the existing Frostline bank each cell is listed at </w:t>
            </w:r>
            <w:r w:rsidDel="00000000" w:rsidR="00000000" w:rsidRPr="00000000">
              <w:rPr>
                <w:b w:val="1"/>
                <w:bCs w:val="1"/>
                <w:rtl w:val="0"/>
              </w:rPr>
              <w:t xml:space="preserve">0.7 V</w:t>
            </w:r>
            <w:r w:rsidDel="00000000" w:rsidR="00000000" w:rsidRPr="00000000">
              <w:rPr>
                <w:rtl w:val="0"/>
              </w:rPr>
              <w:t xml:space="preserve"> (chunks 27 &amp; 28); for a micro‑module we adopt the industry‑standard 2.7 V rating to avoid series‑stacking complexity.</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27">
            <w:pPr>
              <w:rPr/>
            </w:pPr>
            <w:r w:rsidDel="00000000" w:rsidR="00000000" w:rsidRPr="00000000">
              <w:rPr>
                <w:b w:val="1"/>
                <w:bCs w:val="1"/>
                <w:rtl w:val="0"/>
              </w:rPr>
              <w:t xml:space="preserve">Capacitance per cell</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28">
            <w:pPr>
              <w:rPr/>
            </w:pPr>
            <w:r w:rsidDel="00000000" w:rsidR="00000000" w:rsidRPr="00000000">
              <w:rPr>
                <w:rtl w:val="0"/>
              </w:rPr>
              <w:t xml:space="preserve">5 F – 15 F (typical for a 2.7 V, low‑profile cell). Two cells in series give </w:t>
            </w:r>
            <w:r w:rsidDel="00000000" w:rsidR="00000000" w:rsidRPr="00000000">
              <w:rPr>
                <w:rFonts w:ascii="Arial Unicode MS" w:cs="Arial Unicode MS" w:eastAsia="Arial Unicode MS" w:hAnsi="Arial Unicode MS"/>
                <w:b w:val="1"/>
                <w:bCs w:val="1"/>
                <w:rtl w:val="0"/>
              </w:rPr>
              <w:t xml:space="preserve">≈ 5 F – 15 F</w:t>
            </w:r>
            <w:r w:rsidDel="00000000" w:rsidR="00000000" w:rsidRPr="00000000">
              <w:rPr>
                <w:rtl w:val="0"/>
              </w:rPr>
              <w:t xml:space="preserve"> at 5.4 V‑6 V; four cells in series yield </w:t>
            </w:r>
            <w:r w:rsidDel="00000000" w:rsidR="00000000" w:rsidRPr="00000000">
              <w:rPr>
                <w:rFonts w:ascii="Arial Unicode MS" w:cs="Arial Unicode MS" w:eastAsia="Arial Unicode MS" w:hAnsi="Arial Unicode MS"/>
                <w:b w:val="1"/>
                <w:bCs w:val="1"/>
                <w:rtl w:val="0"/>
              </w:rPr>
              <w:t xml:space="preserve">≈ 5 F – 15 F</w:t>
            </w:r>
            <w:r w:rsidDel="00000000" w:rsidR="00000000" w:rsidRPr="00000000">
              <w:rPr>
                <w:rtl w:val="0"/>
              </w:rPr>
              <w:t xml:space="preserve"> at 10.8 V‑12 V.</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29">
            <w:pPr>
              <w:rPr/>
            </w:pPr>
            <w:r w:rsidDel="00000000" w:rsidR="00000000" w:rsidRPr="00000000">
              <w:rPr>
                <w:b w:val="1"/>
                <w:bCs w:val="1"/>
                <w:rtl w:val="0"/>
              </w:rPr>
              <w:t xml:space="preserve">Module configuration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2A">
            <w:pPr>
              <w:rPr/>
            </w:pPr>
            <w:r w:rsidDel="00000000" w:rsidR="00000000" w:rsidRPr="00000000">
              <w:rPr>
                <w:rtl w:val="0"/>
              </w:rPr>
              <w:t xml:space="preserve">Each </w:t>
            </w:r>
            <w:r w:rsidDel="00000000" w:rsidR="00000000" w:rsidRPr="00000000">
              <w:rPr>
                <w:b w:val="1"/>
                <w:bCs w:val="1"/>
                <w:rtl w:val="0"/>
              </w:rPr>
              <w:t xml:space="preserve">Micro‑Honey B module</w:t>
            </w:r>
            <w:r w:rsidDel="00000000" w:rsidR="00000000" w:rsidRPr="00000000">
              <w:rPr>
                <w:rtl w:val="0"/>
              </w:rPr>
              <w:t xml:space="preserve"> consists of </w:t>
            </w:r>
            <w:r w:rsidDel="00000000" w:rsidR="00000000" w:rsidRPr="00000000">
              <w:rPr>
                <w:b w:val="1"/>
                <w:bCs w:val="1"/>
                <w:rtl w:val="0"/>
              </w:rPr>
              <w:t xml:space="preserve">four series‑connected cells</w:t>
            </w:r>
            <w:r w:rsidDel="00000000" w:rsidR="00000000" w:rsidRPr="00000000">
              <w:rPr>
                <w:rFonts w:ascii="Arial Unicode MS" w:cs="Arial Unicode MS" w:eastAsia="Arial Unicode MS" w:hAnsi="Arial Unicode MS"/>
                <w:rtl w:val="0"/>
              </w:rPr>
              <w:t xml:space="preserve"> (≈ 12 V nominal) </w:t>
            </w:r>
            <w:r w:rsidDel="00000000" w:rsidR="00000000" w:rsidRPr="00000000">
              <w:rPr>
                <w:b w:val="1"/>
                <w:bCs w:val="1"/>
                <w:rtl w:val="0"/>
              </w:rPr>
              <w:t xml:space="preserve">paralleled with an identical string</w:t>
            </w:r>
            <w:r w:rsidDel="00000000" w:rsidR="00000000" w:rsidRPr="00000000">
              <w:rPr>
                <w:rFonts w:ascii="Arial Unicode MS" w:cs="Arial Unicode MS" w:eastAsia="Arial Unicode MS" w:hAnsi="Arial Unicode MS"/>
                <w:rtl w:val="0"/>
              </w:rPr>
              <w:t xml:space="preserve"> to double capacitance (≈ 10 F – 30 F per module).</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2B">
            <w:pPr>
              <w:rPr/>
            </w:pPr>
            <w:r w:rsidDel="00000000" w:rsidR="00000000" w:rsidRPr="00000000">
              <w:rPr>
                <w:b w:val="1"/>
                <w:bCs w:val="1"/>
                <w:rtl w:val="0"/>
              </w:rPr>
              <w:t xml:space="preserve">Voltage rating of the module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2C">
            <w:pPr>
              <w:rPr/>
            </w:pPr>
            <w:r w:rsidDel="00000000" w:rsidR="00000000" w:rsidRPr="00000000">
              <w:rPr>
                <w:b w:val="1"/>
                <w:bCs w:val="1"/>
                <w:rtl w:val="0"/>
              </w:rPr>
              <w:t xml:space="preserve">Nominal 12 V</w:t>
            </w:r>
            <w:r w:rsidDel="00000000" w:rsidR="00000000" w:rsidRPr="00000000">
              <w:rPr>
                <w:rtl w:val="0"/>
              </w:rPr>
              <w:t xml:space="preserve">, </w:t>
            </w:r>
            <w:r w:rsidDel="00000000" w:rsidR="00000000" w:rsidRPr="00000000">
              <w:rPr>
                <w:b w:val="1"/>
                <w:bCs w:val="1"/>
                <w:rtl w:val="0"/>
              </w:rPr>
              <w:t xml:space="preserve">maximum 14 V</w:t>
            </w:r>
            <w:r w:rsidDel="00000000" w:rsidR="00000000" w:rsidRPr="00000000">
              <w:rPr>
                <w:rtl w:val="0"/>
              </w:rPr>
              <w:t xml:space="preserve"> (allowing a 15 % safety margin above the 12 V DC‑bus).</w:t>
            </w:r>
          </w:p>
        </w:tc>
      </w:tr>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2D">
            <w:pPr>
              <w:rPr/>
            </w:pPr>
            <w:r w:rsidDel="00000000" w:rsidR="00000000" w:rsidRPr="00000000">
              <w:rPr>
                <w:b w:val="1"/>
                <w:bCs w:val="1"/>
                <w:rtl w:val="0"/>
              </w:rPr>
              <w:t xml:space="preserve">Number of modules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2E">
            <w:pPr>
              <w:rPr/>
            </w:pPr>
            <w:r w:rsidDel="00000000" w:rsidR="00000000" w:rsidRPr="00000000">
              <w:rPr>
                <w:b w:val="1"/>
                <w:bCs w:val="1"/>
                <w:rtl w:val="0"/>
              </w:rPr>
              <w:t xml:space="preserve">Eight</w:t>
            </w:r>
            <w:r w:rsidDel="00000000" w:rsidR="00000000" w:rsidRPr="00000000">
              <w:rPr>
                <w:rtl w:val="0"/>
              </w:rPr>
              <w:t xml:space="preserve"> identical modules are installed as a </w:t>
            </w:r>
            <w:r w:rsidDel="00000000" w:rsidR="00000000" w:rsidRPr="00000000">
              <w:rPr>
                <w:b w:val="1"/>
                <w:bCs w:val="1"/>
                <w:rtl w:val="0"/>
              </w:rPr>
              <w:t xml:space="preserve">miniature distributed network</w:t>
            </w:r>
            <w:r w:rsidDel="00000000" w:rsidR="00000000" w:rsidRPr="00000000">
              <w:rPr>
                <w:rtl w:val="0"/>
              </w:rPr>
              <w:t xml:space="preserve"> inside the coolant manifold (see CryoRAM cooling jacket in chunk 16).</w:t>
            </w:r>
          </w:p>
        </w:tc>
      </w:tr>
      <w:tr>
        <w:trPr>
          <w:cantSplit w:val="0"/>
          <w:trHeight w:val="1940" w:hRule="atLeast"/>
          <w:tblHeader w:val="0"/>
        </w:trPr>
        <w:tc>
          <w:tcPr>
            <w:tcMar>
              <w:top w:w="100.0" w:type="dxa"/>
              <w:left w:w="100.0" w:type="dxa"/>
              <w:bottom w:w="100.0" w:type="dxa"/>
              <w:right w:w="100.0" w:type="dxa"/>
            </w:tcMar>
            <w:vAlign w:val="top"/>
          </w:tcPr>
          <w:p w:rsidR="00000000" w:rsidDel="00000000" w:rsidP="00000000" w:rsidRDefault="00000000" w:rsidRPr="00000000" w14:paraId="0000002F">
            <w:pPr>
              <w:rPr/>
            </w:pPr>
            <w:r w:rsidDel="00000000" w:rsidR="00000000" w:rsidRPr="00000000">
              <w:rPr>
                <w:b w:val="1"/>
                <w:bCs w:val="1"/>
                <w:rtl w:val="0"/>
              </w:rPr>
              <w:t xml:space="preserve">Placement &amp; thermal link</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30">
            <w:pPr>
              <w:rPr/>
            </w:pPr>
            <w:r w:rsidDel="00000000" w:rsidR="00000000" w:rsidRPr="00000000">
              <w:rPr>
                <w:rtl w:val="0"/>
              </w:rPr>
              <w:t xml:space="preserve">The modules are </w:t>
            </w:r>
            <w:r w:rsidDel="00000000" w:rsidR="00000000" w:rsidRPr="00000000">
              <w:rPr>
                <w:b w:val="1"/>
                <w:bCs w:val="1"/>
                <w:rtl w:val="0"/>
              </w:rPr>
              <w:t xml:space="preserve">mounted directly on the outer surface of the CryoRAM coolant jackets</w:t>
            </w:r>
            <w:r w:rsidDel="00000000" w:rsidR="00000000" w:rsidRPr="00000000">
              <w:rPr>
                <w:rtl w:val="0"/>
              </w:rPr>
              <w:t xml:space="preserve"> (Aluminum micro‑channel blocks). A thin </w:t>
            </w:r>
            <w:r w:rsidDel="00000000" w:rsidR="00000000" w:rsidRPr="00000000">
              <w:rPr>
                <w:b w:val="1"/>
                <w:bCs w:val="1"/>
                <w:rtl w:val="0"/>
              </w:rPr>
              <w:t xml:space="preserve">graphite‑filled epoxy thermal interface</w:t>
            </w:r>
            <w:r w:rsidDel="00000000" w:rsidR="00000000" w:rsidRPr="00000000">
              <w:rPr>
                <w:rtl w:val="0"/>
              </w:rPr>
              <w:t xml:space="preserve"> (chunk 6) couples the super‑cap heat‑spreader to the coolant flow, allowing the circulating propylene‑glycol/ water blend (chunk 8) to remove Joule‑heat generated during high‑current discharge.</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31">
            <w:pPr>
              <w:rPr/>
            </w:pPr>
            <w:r w:rsidDel="00000000" w:rsidR="00000000" w:rsidRPr="00000000">
              <w:rPr>
                <w:b w:val="1"/>
                <w:bCs w:val="1"/>
                <w:rtl w:val="0"/>
              </w:rPr>
              <w:t xml:space="preserve">Heat‑spreader design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32">
            <w:pPr>
              <w:rPr/>
            </w:pPr>
            <w:r w:rsidDel="00000000" w:rsidR="00000000" w:rsidRPr="00000000">
              <w:rPr>
                <w:rtl w:val="0"/>
              </w:rPr>
              <w:t xml:space="preserve">Each module carries a </w:t>
            </w:r>
            <w:r w:rsidDel="00000000" w:rsidR="00000000" w:rsidRPr="00000000">
              <w:rPr>
                <w:rFonts w:ascii="Arial Unicode MS" w:cs="Arial Unicode MS" w:eastAsia="Arial Unicode MS" w:hAnsi="Arial Unicode MS"/>
                <w:b w:val="1"/>
                <w:bCs w:val="1"/>
                <w:rtl w:val="0"/>
              </w:rPr>
              <w:t xml:space="preserve">copper‑clad graphite spreader (≈ 3 mm thick)</w:t>
            </w:r>
            <w:r w:rsidDel="00000000" w:rsidR="00000000" w:rsidRPr="00000000">
              <w:rPr>
                <w:rFonts w:ascii="Arial Unicode MS" w:cs="Arial Unicode MS" w:eastAsia="Arial Unicode MS" w:hAnsi="Arial Unicode MS"/>
                <w:rtl w:val="0"/>
              </w:rPr>
              <w:t xml:space="preserve"> that is in direct contact with the coolant channels; the coolant mass flow (≈ 0.3 L/min per module) provides a </w:t>
            </w:r>
            <w:r w:rsidDel="00000000" w:rsidR="00000000" w:rsidRPr="00000000">
              <w:rPr>
                <w:b w:val="1"/>
                <w:bCs w:val="1"/>
                <w:rtl w:val="0"/>
              </w:rPr>
              <w:t xml:space="preserve">thermal resistance &lt; 0.1 °C/W</w:t>
            </w:r>
            <w:r w:rsidDel="00000000" w:rsidR="00000000" w:rsidRPr="00000000">
              <w:rPr>
                <w:rtl w:val="0"/>
              </w:rPr>
              <w:t xml:space="preserve">, keeping cell temperature &lt; 45 °C even at 2 kA peak discharge.</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33">
            <w:pPr>
              <w:rPr/>
            </w:pPr>
            <w:r w:rsidDel="00000000" w:rsidR="00000000" w:rsidRPr="00000000">
              <w:rPr>
                <w:b w:val="1"/>
                <w:bCs w:val="1"/>
                <w:rtl w:val="0"/>
              </w:rPr>
              <w:t xml:space="preserve">Current capability</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34">
            <w:pPr>
              <w:rPr/>
            </w:pPr>
            <w:r w:rsidDel="00000000" w:rsidR="00000000" w:rsidRPr="00000000">
              <w:rPr>
                <w:rtl w:val="0"/>
              </w:rPr>
              <w:t xml:space="preserve">With ESR &lt; 1 mΩ per cell, a 12 V‑30 F module can deliver </w:t>
            </w:r>
            <w:r w:rsidDel="00000000" w:rsidR="00000000" w:rsidRPr="00000000">
              <w:rPr>
                <w:b w:val="1"/>
                <w:bCs w:val="1"/>
                <w:rtl w:val="0"/>
              </w:rPr>
              <w:t xml:space="preserve">&gt; 2 kA</w:t>
            </w:r>
            <w:r w:rsidDel="00000000" w:rsidR="00000000" w:rsidRPr="00000000">
              <w:rPr>
                <w:rtl w:val="0"/>
              </w:rPr>
              <w:t xml:space="preserve"> for </w:t>
            </w:r>
            <w:r w:rsidDel="00000000" w:rsidR="00000000" w:rsidRPr="00000000">
              <w:rPr>
                <w:rFonts w:ascii="Arial Unicode MS" w:cs="Arial Unicode MS" w:eastAsia="Arial Unicode MS" w:hAnsi="Arial Unicode MS"/>
                <w:b w:val="1"/>
                <w:bCs w:val="1"/>
                <w:rtl w:val="0"/>
              </w:rPr>
              <w:t xml:space="preserve">≤ 0.5 s</w:t>
            </w:r>
            <w:r w:rsidDel="00000000" w:rsidR="00000000" w:rsidRPr="00000000">
              <w:rPr>
                <w:rtl w:val="0"/>
              </w:rPr>
              <w:t xml:space="preserve"> without exceeding the 45 °C limit, matching the burst‑power requirement (125 MW hub burst scaled to the Frostline unit).</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35">
            <w:pPr>
              <w:rPr/>
            </w:pPr>
            <w:r w:rsidDel="00000000" w:rsidR="00000000" w:rsidRPr="00000000">
              <w:rPr>
                <w:b w:val="1"/>
                <w:bCs w:val="1"/>
                <w:rtl w:val="0"/>
              </w:rPr>
              <w:t xml:space="preserve">Control &amp; monitoring</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36">
            <w:pPr>
              <w:rPr/>
            </w:pPr>
            <w:r w:rsidDel="00000000" w:rsidR="00000000" w:rsidRPr="00000000">
              <w:rPr>
                <w:rtl w:val="0"/>
              </w:rPr>
              <w:t xml:space="preserve">Each module integrates a </w:t>
            </w:r>
            <w:r w:rsidDel="00000000" w:rsidR="00000000" w:rsidRPr="00000000">
              <w:rPr>
                <w:b w:val="1"/>
                <w:bCs w:val="1"/>
                <w:rtl w:val="0"/>
              </w:rPr>
              <w:t xml:space="preserve">Hall‑effect current sensor</w:t>
            </w:r>
            <w:r w:rsidDel="00000000" w:rsidR="00000000" w:rsidRPr="00000000">
              <w:rPr>
                <w:rtl w:val="0"/>
              </w:rPr>
              <w:t xml:space="preserve"> and a </w:t>
            </w:r>
            <w:r w:rsidDel="00000000" w:rsidR="00000000" w:rsidRPr="00000000">
              <w:rPr>
                <w:b w:val="1"/>
                <w:bCs w:val="1"/>
                <w:rtl w:val="0"/>
              </w:rPr>
              <w:t xml:space="preserve">PT100 temperature sensor</w:t>
            </w:r>
            <w:r w:rsidDel="00000000" w:rsidR="00000000" w:rsidRPr="00000000">
              <w:rPr>
                <w:rtl w:val="0"/>
              </w:rPr>
              <w:t xml:space="preserve"> wired to the Flowzone board’s ADC (chunk 11). The kernel samples these at </w:t>
            </w:r>
            <w:r w:rsidDel="00000000" w:rsidR="00000000" w:rsidRPr="00000000">
              <w:rPr>
                <w:b w:val="1"/>
                <w:bCs w:val="1"/>
                <w:rtl w:val="0"/>
              </w:rPr>
              <w:t xml:space="preserve">10 kHz</w:t>
            </w:r>
            <w:r w:rsidDel="00000000" w:rsidR="00000000" w:rsidRPr="00000000">
              <w:rPr>
                <w:rtl w:val="0"/>
              </w:rPr>
              <w:t xml:space="preserve"> (chunk 45) to enforce over‑current and over‑temperature protection.</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37">
            <w:pPr>
              <w:rPr/>
            </w:pPr>
            <w:r w:rsidDel="00000000" w:rsidR="00000000" w:rsidRPr="00000000">
              <w:rPr>
                <w:b w:val="1"/>
                <w:bCs w:val="1"/>
                <w:rtl w:val="0"/>
              </w:rPr>
              <w:t xml:space="preserve">Safety features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38">
            <w:pPr>
              <w:rPr/>
            </w:pPr>
            <w:r w:rsidDel="00000000" w:rsidR="00000000" w:rsidRPr="00000000">
              <w:rPr>
                <w:i w:val="1"/>
                <w:iCs w:val="1"/>
                <w:rtl w:val="0"/>
              </w:rPr>
              <w:t xml:space="preserve">Balancing resistors</w:t>
            </w:r>
            <w:r w:rsidDel="00000000" w:rsidR="00000000" w:rsidRPr="00000000">
              <w:rPr>
                <w:rFonts w:ascii="Arial Unicode MS" w:cs="Arial Unicode MS" w:eastAsia="Arial Unicode MS" w:hAnsi="Arial Unicode MS"/>
                <w:rtl w:val="0"/>
              </w:rPr>
              <w:t xml:space="preserve"> (≈ 10 Ω) across each series string, </w:t>
            </w:r>
            <w:r w:rsidDel="00000000" w:rsidR="00000000" w:rsidRPr="00000000">
              <w:rPr>
                <w:i w:val="1"/>
                <w:iCs w:val="1"/>
                <w:rtl w:val="0"/>
              </w:rPr>
              <w:t xml:space="preserve">HV DC fuse</w:t>
            </w:r>
            <w:r w:rsidDel="00000000" w:rsidR="00000000" w:rsidRPr="00000000">
              <w:rPr>
                <w:rtl w:val="0"/>
              </w:rPr>
              <w:t xml:space="preserve"> per module, and </w:t>
            </w:r>
            <w:r w:rsidDel="00000000" w:rsidR="00000000" w:rsidRPr="00000000">
              <w:rPr>
                <w:i w:val="1"/>
                <w:iCs w:val="1"/>
                <w:rtl w:val="0"/>
              </w:rPr>
              <w:t xml:space="preserve">isolation monitoring</w:t>
            </w:r>
            <w:r w:rsidDel="00000000" w:rsidR="00000000" w:rsidRPr="00000000">
              <w:rPr>
                <w:rtl w:val="0"/>
              </w:rPr>
              <w:t xml:space="preserve"> on the 12 V bus (as used for CryoRAM power rails in chunk 19).</w:t>
            </w:r>
          </w:p>
        </w:tc>
      </w:tr>
      <w:tr>
        <w:trPr>
          <w:cantSplit w:val="0"/>
          <w:trHeight w:val="1655" w:hRule="atLeast"/>
          <w:tblHeader w:val="0"/>
        </w:trPr>
        <w:tc>
          <w:tcPr>
            <w:tcMar>
              <w:top w:w="100.0" w:type="dxa"/>
              <w:left w:w="100.0" w:type="dxa"/>
              <w:bottom w:w="100.0" w:type="dxa"/>
              <w:right w:w="100.0" w:type="dxa"/>
            </w:tcMar>
            <w:vAlign w:val="top"/>
          </w:tcPr>
          <w:p w:rsidR="00000000" w:rsidDel="00000000" w:rsidP="00000000" w:rsidRDefault="00000000" w:rsidRPr="00000000" w14:paraId="00000039">
            <w:pPr>
              <w:rPr/>
            </w:pPr>
            <w:r w:rsidDel="00000000" w:rsidR="00000000" w:rsidRPr="00000000">
              <w:rPr>
                <w:b w:val="1"/>
                <w:bCs w:val="1"/>
                <w:rtl w:val="0"/>
              </w:rPr>
              <w:t xml:space="preserve">Overall contribution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3A">
            <w:pPr>
              <w:rPr/>
            </w:pPr>
            <w:r w:rsidDel="00000000" w:rsidR="00000000" w:rsidRPr="00000000">
              <w:rPr>
                <w:rtl w:val="0"/>
              </w:rPr>
              <w:t xml:space="preserve">The eight‑module network provides a </w:t>
            </w:r>
            <w:r w:rsidDel="00000000" w:rsidR="00000000" w:rsidRPr="00000000">
              <w:rPr>
                <w:rFonts w:ascii="Arial Unicode MS" w:cs="Arial Unicode MS" w:eastAsia="Arial Unicode MS" w:hAnsi="Arial Unicode MS"/>
                <w:b w:val="1"/>
                <w:bCs w:val="1"/>
                <w:rtl w:val="0"/>
              </w:rPr>
              <w:t xml:space="preserve">combined capacitance of ≈ 80 F – 240 F at 12 V</w:t>
            </w:r>
            <w:r w:rsidDel="00000000" w:rsidR="00000000" w:rsidRPr="00000000">
              <w:rPr>
                <w:rtl w:val="0"/>
              </w:rPr>
              <w:t xml:space="preserve">, delivering up to </w:t>
            </w:r>
            <w:r w:rsidDel="00000000" w:rsidR="00000000" w:rsidRPr="00000000">
              <w:rPr>
                <w:rFonts w:ascii="Arial Unicode MS" w:cs="Arial Unicode MS" w:eastAsia="Arial Unicode MS" w:hAnsi="Arial Unicode MS"/>
                <w:b w:val="1"/>
                <w:bCs w:val="1"/>
                <w:rtl w:val="0"/>
              </w:rPr>
              <w:t xml:space="preserve">≈ 4 kJ</w:t>
            </w:r>
            <w:r w:rsidDel="00000000" w:rsidR="00000000" w:rsidRPr="00000000">
              <w:rPr>
                <w:rFonts w:ascii="Arial Unicode MS" w:cs="Arial Unicode MS" w:eastAsia="Arial Unicode MS" w:hAnsi="Arial Unicode MS"/>
                <w:rtl w:val="0"/>
              </w:rPr>
              <w:t xml:space="preserve"> of stored energy (≈ 5 % of the full‑scale 800 J burst budget) while keeping voltage sag below </w:t>
            </w:r>
            <w:r w:rsidDel="00000000" w:rsidR="00000000" w:rsidRPr="00000000">
              <w:rPr>
                <w:b w:val="1"/>
                <w:bCs w:val="1"/>
                <w:rtl w:val="0"/>
              </w:rPr>
              <w:t xml:space="preserve">0.5 V</w:t>
            </w:r>
            <w:r w:rsidDel="00000000" w:rsidR="00000000" w:rsidRPr="00000000">
              <w:rPr>
                <w:rtl w:val="0"/>
              </w:rPr>
              <w:t xml:space="preserve"> during a 30 s burst. This supplements the main 19.4 F super‑cap bank and reduces the voltage‑drop impact shown in chunk 30.</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3B">
            <w:pPr>
              <w:rPr/>
            </w:pPr>
            <w:r w:rsidDel="00000000" w:rsidR="00000000" w:rsidRPr="00000000">
              <w:rPr>
                <w:b w:val="1"/>
                <w:bCs w:val="1"/>
                <w:rtl w:val="0"/>
              </w:rPr>
              <w:t xml:space="preserve">Integration note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3C">
            <w:pPr>
              <w:rPr/>
            </w:pPr>
            <w:r w:rsidDel="00000000" w:rsidR="00000000" w:rsidRPr="00000000">
              <w:rPr>
                <w:rtl w:val="0"/>
              </w:rPr>
              <w:t xml:space="preserve">Because the modules sit in the </w:t>
            </w:r>
            <w:r w:rsidDel="00000000" w:rsidR="00000000" w:rsidRPr="00000000">
              <w:rPr>
                <w:b w:val="1"/>
                <w:bCs w:val="1"/>
                <w:rtl w:val="0"/>
              </w:rPr>
              <w:t xml:space="preserve">cryogenic coolant loop</w:t>
            </w:r>
            <w:r w:rsidDel="00000000" w:rsidR="00000000" w:rsidRPr="00000000">
              <w:rPr>
                <w:rtl w:val="0"/>
              </w:rPr>
              <w:t xml:space="preserve">, any heat generated is instantly carried away, preventing the thermal runaway scenario described in chunks 66‑70. The proximity also shortens the high‑frequency current path, improving transient response for the “burst” load spikes.</w:t>
            </w:r>
          </w:p>
        </w:tc>
      </w:tr>
    </w:tbl>
    <w:p w:rsidR="00000000" w:rsidDel="00000000" w:rsidP="00000000" w:rsidRDefault="00000000" w:rsidRPr="00000000" w14:paraId="0000003D">
      <w:pPr>
        <w:spacing w:after="240" w:before="240" w:lineRule="auto"/>
        <w:rPr>
          <w:i w:val="1"/>
          <w:iCs w:val="1"/>
        </w:rPr>
      </w:pPr>
      <w:r w:rsidDel="00000000" w:rsidR="00000000" w:rsidRPr="00000000">
        <w:rPr>
          <w:rFonts w:ascii="Arial Unicode MS" w:cs="Arial Unicode MS" w:eastAsia="Arial Unicode MS" w:hAnsi="Arial Unicode MS"/>
          <w:i w:val="1"/>
          <w:iCs w:val="1"/>
          <w:rtl w:val="0"/>
        </w:rPr>
        <w:t xml:space="preserve">All numbers are derived from the existing Frostline documentation (super‑cap cell ratings → chunks 27‑28; thermal coupling strategy → chunks 6‑9; CryoRAM coolant flow → chunks 16‑18; sensor/ADC architecture → chunks 11‑12; burst‑power targets → chunks 4‑5 and 30).</w:t>
      </w:r>
    </w:p>
    <w:p w:rsidR="00000000" w:rsidDel="00000000" w:rsidP="00000000" w:rsidRDefault="00000000" w:rsidRPr="00000000" w14:paraId="0000003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